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127000</wp:posOffset>
                </wp:positionV>
                <wp:extent cx="4921250" cy="7620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90138" y="3403763"/>
                          <a:ext cx="4911725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127000</wp:posOffset>
                </wp:positionV>
                <wp:extent cx="4921250" cy="76200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125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1816100" cy="8096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42713" y="3379950"/>
                          <a:ext cx="1806575" cy="800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1816100" cy="80962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1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ความบันดาลใจจากการตั้งชื่อในภาษาไทย ทำให้เกิดการคาดเดาถึงวิวัฒนาการของภาษาไทย ที่ยุคของเสียง มีความหมายมากกว่า ถ้อยคำ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ภาษาในอนาคต อาจจะเป็นเพียงเสียง ที่รับรู้กันได้ โดยไม่ต้องการความเข้าใจก็ได้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หรืออีกนัยยะ ความหมายของความเข้าใจ ก็ได้เปลี่ยนไป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= </w:t>
      </w: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การสื่อสาร ได้เปลี่ยนไปถึงรากเหง้า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ซึ่งจะทำให้เกิดการสื่อสารสองระดับ ดังเช่น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ผู้ที่ได้รับการศึกษา จะต้องใช้เวลามากขึ้น เพื่อที่จะให้ถึงระดับ ที่สามารถใช้ภาษากลับมาสื่อสารกันได้ด้วยถ้อยคำอีกครั้งหนึ่ง ซึ่งจะเป็นภาษาที่ใช้เฉพาะในที่ประชุมทางวิชาการ เท่านั้น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เมื่อเรากลับเข้าสู่สภาวะปกติ การสื่อสารของเรา ก็เปลี่ยนกลับไปสู่ การสัมผัสถึงเสียง ซึ่งในอีกทางหนึ่ง คือ ความเข้าใจเรื่องเสียงของคนเรา ได้พัฒนาไปไกลกว่าภาษา และการสื่อสารของคนเรา จะมีลักษณะของดนตรี มากขึ้น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/9ltOZL2bfqHd89JcdJ3zYZhA==">CgMxLjA4AHIhMXdFREQ4UUZyc0g3QmVVVzB0Zkd0UVdkVjRTZTdDMTJl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2013-02-01T11:45:00Z</dcterms:created>
  <dc:creator>iLLuSioN</dc:creator>
</cp:coreProperties>
</file>